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附件1</w:t>
      </w: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000000"/>
          <w:sz w:val="36"/>
          <w:szCs w:val="36"/>
        </w:rPr>
        <w:t>政务服务网统一公共支付平台</w:t>
      </w: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宁波市线上线下融合缴费模式操作指引</w:t>
      </w:r>
    </w:p>
    <w:bookmarkEnd w:id="0"/>
    <w:p>
      <w:pPr>
        <w:rPr>
          <w:rFonts w:ascii="黑体" w:hAnsi="宋体" w:eastAsia="黑体"/>
          <w:color w:val="000000"/>
          <w:sz w:val="30"/>
          <w:szCs w:val="30"/>
        </w:rPr>
      </w:pPr>
    </w:p>
    <w:p>
      <w:pPr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一、网页平台缴费流程</w:t>
      </w:r>
    </w:p>
    <w:p>
      <w:pPr>
        <w:pStyle w:val="4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（一）登陆：浙江政务服务网统一公共支付平台（pay.zjzwfw.gov.cn）;手机端电脑端均可，选择按‘缴款单号’； </w:t>
      </w:r>
    </w:p>
    <w:p>
      <w:pPr>
        <w:pStyle w:val="4"/>
        <w:ind w:firstLine="0" w:firstLineChars="0"/>
        <w:rPr>
          <w:rFonts w:ascii="宋体"/>
          <w:color w:val="000000"/>
          <w:sz w:val="32"/>
          <w:szCs w:val="32"/>
        </w:rPr>
      </w:pPr>
      <w:r>
        <w:drawing>
          <wp:inline distT="0" distB="0" distL="114300" distR="114300">
            <wp:extent cx="5422265" cy="3735705"/>
            <wp:effectExtent l="0" t="0" r="6985" b="17145"/>
            <wp:docPr id="1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png"/>
                    <pic:cNvPicPr>
                      <a:picLocks noChangeAspect="1"/>
                    </pic:cNvPicPr>
                  </pic:nvPicPr>
                  <pic:blipFill>
                    <a:blip r:embed="rId4"/>
                    <a:srcRect t="6557" r="1489" b="22362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 w:ascii="微软雅黑" w:hAnsi="微软雅黑" w:eastAsia="微软雅黑"/>
          <w:sz w:val="24"/>
        </w:rPr>
        <w:t>（二）输入：在缴款单号处录入短信包含的电子缴款码信息：</w:t>
      </w:r>
      <w:r>
        <w:rPr>
          <w:rFonts w:ascii="STSong-Light" w:hAnsi="STSong-Light" w:eastAsia="STSong-Light" w:cs="STSong-Light"/>
          <w:color w:val="000000"/>
          <w:kern w:val="0"/>
          <w:sz w:val="20"/>
          <w:szCs w:val="20"/>
        </w:rPr>
        <w:t>33020000121100074298</w:t>
      </w:r>
    </w:p>
    <w:p>
      <w:pPr>
        <w:pStyle w:val="4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33020000121100074298，点击‘下一步’按钮；</w:t>
      </w:r>
    </w:p>
    <w:p>
      <w:pPr>
        <w:pStyle w:val="4"/>
        <w:ind w:left="143" w:leftChars="68" w:firstLine="0" w:firstLineChars="0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/>
          <w:color w:val="000000"/>
          <w:sz w:val="32"/>
          <w:szCs w:val="32"/>
        </w:rPr>
        <w:drawing>
          <wp:inline distT="0" distB="0" distL="114300" distR="114300">
            <wp:extent cx="4982845" cy="3125470"/>
            <wp:effectExtent l="0" t="0" r="8255" b="1778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png"/>
                    <pic:cNvPicPr>
                      <a:picLocks noChangeAspect="1"/>
                    </pic:cNvPicPr>
                  </pic:nvPicPr>
                  <pic:blipFill>
                    <a:blip r:embed="rId5"/>
                    <a:srcRect t="6438" b="2553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（三）确认：系统显示缴款单对应的信息，缴款人核对信息无误后，点击‘确认缴款’按钮；</w:t>
      </w:r>
    </w:p>
    <w:p>
      <w:pPr>
        <w:pStyle w:val="4"/>
        <w:ind w:left="143" w:leftChars="68" w:firstLine="0" w:firstLineChars="0"/>
        <w:jc w:val="left"/>
        <w:rPr>
          <w:rFonts w:ascii="宋体"/>
          <w:color w:val="000000"/>
          <w:sz w:val="32"/>
          <w:szCs w:val="32"/>
        </w:rPr>
      </w:pPr>
      <w:r>
        <w:drawing>
          <wp:inline distT="0" distB="0" distL="114300" distR="114300">
            <wp:extent cx="5269230" cy="4035425"/>
            <wp:effectExtent l="0" t="0" r="7620" b="31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（四）缴款：选择支付机构完成缴款。</w:t>
      </w:r>
    </w:p>
    <w:p>
      <w:pPr>
        <w:pStyle w:val="4"/>
        <w:ind w:firstLineChars="0"/>
      </w:pPr>
      <w:r>
        <w:drawing>
          <wp:inline distT="0" distB="0" distL="114300" distR="114300">
            <wp:extent cx="5274310" cy="3366135"/>
            <wp:effectExtent l="0" t="0" r="2540" b="57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Chars="0"/>
        <w:jc w:val="left"/>
      </w:pPr>
      <w:r>
        <w:rPr>
          <w:rFonts w:hint="eastAsia"/>
        </w:rPr>
        <w:t>选择</w:t>
      </w:r>
      <w:r>
        <w:drawing>
          <wp:inline distT="0" distB="0" distL="114300" distR="114300">
            <wp:extent cx="5267960" cy="2011045"/>
            <wp:effectExtent l="0" t="0" r="8890" b="825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Chars="0"/>
        <w:jc w:val="left"/>
      </w:pPr>
      <w:r>
        <w:drawing>
          <wp:inline distT="0" distB="0" distL="114300" distR="114300">
            <wp:extent cx="5266690" cy="2463165"/>
            <wp:effectExtent l="0" t="0" r="10160" b="133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选择所对应银行</w:t>
      </w:r>
    </w:p>
    <w:p>
      <w:pPr>
        <w:pStyle w:val="4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（五）查询：支付成功后，可回到 “公共支付”页面，通过“缴款记录”菜单查询相应缴款明细信息。</w:t>
      </w:r>
    </w:p>
    <w:p>
      <w:pPr>
        <w:pStyle w:val="4"/>
        <w:ind w:left="142" w:firstLine="0" w:firstLineChars="0"/>
      </w:pPr>
      <w:r>
        <w:rPr>
          <w:rFonts w:eastAsia="仿宋"/>
          <w:sz w:val="30"/>
          <w:szCs w:val="30"/>
        </w:rPr>
        <w:drawing>
          <wp:inline distT="0" distB="0" distL="114300" distR="114300">
            <wp:extent cx="5218430" cy="3811905"/>
            <wp:effectExtent l="0" t="0" r="1270" b="17145"/>
            <wp:docPr id="5" name="图片 7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11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3195" b="29071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ZTI0OGRiMDhjOTJmZTEzZWI4MTAzODc1ZTJlZDkifQ=="/>
  </w:docVars>
  <w:rsids>
    <w:rsidRoot w:val="00000000"/>
    <w:rsid w:val="009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2022-11-21T05:07:51Z</dcterms:created>
  <dc:creator>Administrator</dc:creator>
  <cp:lastModifiedBy>奶味阿烊</cp:lastModifiedBy>
  <dcterms:modified xsi:type="dcterms:W3CDTF">2022-11-21T05:08:01Z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CCA6DD9A2A4A4FDEB218F237C644076C</vt:lpwstr>
  </property>
</Properties>
</file>